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center"/>
        <w:rPr/>
      </w:pPr>
      <w:bookmarkStart w:id="0" w:name="copy_of_6k_cppib_bafo_7_.htm"/>
      <w:bookmarkStart w:id="1" w:name="kscopy_of_6k_cppib_bafo_7_"/>
      <w:bookmarkEnd w:id="0"/>
      <w:bookmarkEnd w:id="1"/>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2"/>
        </w:rPr>
      </w:pPr>
      <w:r>
        <w:rPr>
          <w:rFonts w:ascii="Times New Roman" w:hAnsi="Times New Roman"/>
          <w:b/>
          <w:color w:val="000000"/>
          <w:sz w:val="22"/>
        </w:rPr>
        <w:t>Washington, D.C. 20549</w:t>
      </w:r>
    </w:p>
    <w:p>
      <w:pPr>
        <w:pStyle w:val="TextBody"/>
        <w:bidi w:val="0"/>
        <w:jc w:val="center"/>
        <w:rPr/>
      </w:pPr>
      <w:r>
        <w:rPr/>
        <w:t> </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6-K</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REPORT OF FOREIGN PRIVATE ISSUER</w:t>
      </w:r>
    </w:p>
    <w:p>
      <w:pPr>
        <w:pStyle w:val="TextBody"/>
        <w:bidi w:val="0"/>
        <w:jc w:val="center"/>
        <w:rPr>
          <w:rFonts w:ascii="Times New Roman" w:hAnsi="Times New Roman"/>
          <w:b/>
          <w:color w:val="000000"/>
          <w:sz w:val="22"/>
        </w:rPr>
      </w:pPr>
      <w:r>
        <w:rPr>
          <w:rFonts w:ascii="Times New Roman" w:hAnsi="Times New Roman"/>
          <w:b/>
          <w:color w:val="000000"/>
          <w:sz w:val="22"/>
        </w:rPr>
        <w:t>PURSUANT TO RULE 13a-16 OR 15d-16</w:t>
      </w:r>
    </w:p>
    <w:p>
      <w:pPr>
        <w:pStyle w:val="TextBody"/>
        <w:bidi w:val="0"/>
        <w:jc w:val="center"/>
        <w:rPr>
          <w:rFonts w:ascii="Times New Roman" w:hAnsi="Times New Roman"/>
          <w:b/>
          <w:color w:val="000000"/>
          <w:sz w:val="22"/>
        </w:rPr>
      </w:pPr>
      <w:r>
        <w:rPr>
          <w:rFonts w:ascii="Times New Roman" w:hAnsi="Times New Roman"/>
          <w:b/>
          <w:color w:val="000000"/>
          <w:sz w:val="22"/>
        </w:rPr>
        <w:t>UNDER THE SECURITIES EXCHANGE ACT OF 1934</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August 7, 2026</w:t>
      </w:r>
    </w:p>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Commission File Number: 001-40752</w:t>
      </w:r>
    </w:p>
    <w:p>
      <w:pPr>
        <w:pStyle w:val="TextBody"/>
        <w:bidi w:val="0"/>
        <w:jc w:val="left"/>
        <w:rPr/>
      </w:pPr>
      <w:r>
        <w:rPr/>
        <w:t> </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43"/>
        </w:rPr>
      </w:pPr>
      <w:r>
        <w:rPr>
          <w:rFonts w:ascii="Times New Roman" w:hAnsi="Times New Roman"/>
          <w:b/>
          <w:color w:val="000000"/>
          <w:sz w:val="43"/>
        </w:rPr>
        <w:t>RENEW ENERGY GLOBAL PLC</w:t>
      </w:r>
    </w:p>
    <w:p>
      <w:pPr>
        <w:pStyle w:val="TextBody"/>
        <w:bidi w:val="0"/>
        <w:jc w:val="center"/>
        <w:rPr>
          <w:rFonts w:ascii="Times New Roman" w:hAnsi="Times New Roman"/>
          <w:b/>
          <w:color w:val="000000"/>
          <w:sz w:val="18"/>
        </w:rPr>
      </w:pPr>
      <w:r>
        <w:rPr>
          <w:rFonts w:ascii="Times New Roman" w:hAnsi="Times New Roman"/>
          <w:b/>
          <w:color w:val="000000"/>
          <w:sz w:val="18"/>
        </w:rPr>
        <w:t>(Translation of registrant’s name into English)</w:t>
      </w:r>
    </w:p>
    <w:p>
      <w:pPr>
        <w:pStyle w:val="TextBody"/>
        <w:bidi w:val="0"/>
        <w:jc w:val="left"/>
        <w:rPr/>
      </w:pPr>
      <w:r>
        <w:rPr/>
        <w:t> </w:t>
      </w:r>
    </w:p>
    <w:p>
      <w:pPr>
        <w:pStyle w:val="TextBody"/>
        <w:bidi w:val="0"/>
        <w:jc w:val="left"/>
        <w:rPr/>
      </w:pPr>
      <w:r>
        <w:rPr/>
        <w:t> </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C/O Vistra (UK) Ltd, Suite 3, 7th Floor</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50, Broadway, London, England, SW1H 0DB, United Kingdom</w:t>
      </w:r>
    </w:p>
    <w:p>
      <w:pPr>
        <w:pStyle w:val="TextBody"/>
        <w:bidi w:val="0"/>
        <w:jc w:val="center"/>
        <w:rPr>
          <w:rFonts w:ascii="Times New Roman" w:hAnsi="Times New Roman"/>
          <w:b/>
          <w:color w:val="000000"/>
          <w:sz w:val="14"/>
        </w:rPr>
      </w:pPr>
      <w:r>
        <w:rPr>
          <w:rFonts w:ascii="Times New Roman" w:hAnsi="Times New Roman"/>
          <w:b/>
          <w:color w:val="000000"/>
          <w:sz w:val="14"/>
        </w:rPr>
        <w:t>(Address of principal executive office)</w:t>
      </w:r>
    </w:p>
    <w:p>
      <w:pPr>
        <w:pStyle w:val="TextBody"/>
        <w:bidi w:val="0"/>
        <w:jc w:val="left"/>
        <w:rPr/>
      </w:pPr>
      <w:r>
        <w:rPr/>
        <w:t> </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17"/>
        </w:rPr>
      </w:pPr>
      <w:r>
        <w:rPr>
          <w:rFonts w:ascii="Times New Roman" w:hAnsi="Times New Roman"/>
          <w:color w:val="000000"/>
          <w:sz w:val="17"/>
        </w:rPr>
        <w:t>Indicate by check mark whether the registrant files or will file annual reports under cover of Form 20-F or Form 40-F.</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18"/>
        </w:rPr>
        <w:t xml:space="preserve">Form 20-F </w:t>
      </w:r>
      <w:r>
        <w:rPr>
          <w:rFonts w:ascii="Times New Roman" w:hAnsi="Times New Roman"/>
          <w:color w:val="000000"/>
          <w:sz w:val="20"/>
        </w:rPr>
        <w:t xml:space="preserve">☒ </w:t>
      </w:r>
      <w:r>
        <w:rPr>
          <w:rFonts w:ascii="Times New Roman" w:hAnsi="Times New Roman"/>
          <w:color w:val="000000"/>
          <w:sz w:val="17"/>
        </w:rPr>
        <w:t xml:space="preserve">Form 40-F </w:t>
      </w:r>
      <w:r>
        <w:rPr>
          <w:rFonts w:ascii="Times New Roman" w:hAnsi="Times New Roman"/>
          <w:color w:val="000000"/>
          <w:sz w:val="20"/>
        </w:rPr>
        <w:t>☐</w:t>
      </w:r>
    </w:p>
    <w:p>
      <w:pPr>
        <w:pStyle w:val="TextBody"/>
        <w:bidi w:val="0"/>
        <w:jc w:val="left"/>
        <w:rPr/>
      </w:pPr>
      <w:r>
        <w:rPr/>
        <w:t> </w:t>
      </w:r>
    </w:p>
    <w:p>
      <w:pPr>
        <w:pStyle w:val="TextBody"/>
        <w:bidi w:val="0"/>
        <w:jc w:val="left"/>
        <w:rPr/>
      </w:pPr>
      <w:r>
        <w:rPr/>
        <w:t> </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color w:val="000000"/>
          <w:sz w:val="21"/>
        </w:rPr>
      </w:pPr>
      <w:r>
        <w:rPr>
          <w:rFonts w:ascii="Times New Roman" w:hAnsi="Times New Roman"/>
          <w:b/>
          <w:color w:val="000000"/>
          <w:sz w:val="21"/>
        </w:rPr>
        <w:t>Other events</w:t>
      </w:r>
    </w:p>
    <w:p>
      <w:pPr>
        <w:pStyle w:val="TextBody"/>
        <w:bidi w:val="0"/>
        <w:jc w:val="both"/>
        <w:rPr/>
      </w:pPr>
      <w:r>
        <w:rPr/>
        <w:t> </w:t>
      </w:r>
    </w:p>
    <w:p>
      <w:pPr>
        <w:pStyle w:val="TextBody"/>
        <w:bidi w:val="0"/>
        <w:spacing w:before="0" w:after="120"/>
        <w:jc w:val="both"/>
        <w:rPr>
          <w:rFonts w:ascii="Times New Roman" w:hAnsi="Times New Roman"/>
          <w:sz w:val="20"/>
        </w:rPr>
      </w:pPr>
      <w:r>
        <w:rPr>
          <w:rFonts w:ascii="Times New Roman" w:hAnsi="Times New Roman"/>
          <w:color w:val="000000"/>
          <w:sz w:val="21"/>
        </w:rPr>
        <w:t>ReNew Energy Global Plc (“</w:t>
      </w:r>
      <w:r>
        <w:rPr>
          <w:rFonts w:ascii="Times New Roman" w:hAnsi="Times New Roman"/>
          <w:b/>
          <w:color w:val="000000"/>
          <w:sz w:val="21"/>
        </w:rPr>
        <w:t>ReNew</w:t>
      </w:r>
      <w:r>
        <w:rPr>
          <w:rFonts w:ascii="Times New Roman" w:hAnsi="Times New Roman"/>
          <w:color w:val="000000"/>
          <w:sz w:val="20"/>
        </w:rPr>
        <w:t xml:space="preserve">” </w:t>
      </w:r>
      <w:r>
        <w:rPr>
          <w:rFonts w:ascii="Times New Roman" w:hAnsi="Times New Roman"/>
          <w:color w:val="000000"/>
          <w:sz w:val="21"/>
        </w:rPr>
        <w:t>or the “</w:t>
      </w:r>
      <w:r>
        <w:rPr>
          <w:rFonts w:ascii="Times New Roman" w:hAnsi="Times New Roman"/>
          <w:b/>
          <w:color w:val="000000"/>
          <w:sz w:val="21"/>
        </w:rPr>
        <w:t>Company</w:t>
      </w:r>
      <w:r>
        <w:rPr>
          <w:rFonts w:ascii="Times New Roman" w:hAnsi="Times New Roman"/>
          <w:color w:val="000000"/>
          <w:sz w:val="20"/>
        </w:rPr>
        <w:t>”</w:t>
      </w:r>
      <w:r>
        <w:rPr>
          <w:rFonts w:ascii="Times New Roman" w:hAnsi="Times New Roman"/>
          <w:color w:val="000000"/>
          <w:sz w:val="21"/>
        </w:rPr>
        <w:t>) (NASDAQ: RNW, RNWWW) today announces that it has received a confirmatory letter (the “</w:t>
      </w:r>
      <w:r>
        <w:rPr>
          <w:rFonts w:ascii="Times New Roman" w:hAnsi="Times New Roman"/>
          <w:b/>
          <w:color w:val="000000"/>
          <w:sz w:val="21"/>
        </w:rPr>
        <w:t>Confirmatory Letter</w:t>
      </w:r>
      <w:r>
        <w:rPr>
          <w:rFonts w:ascii="Times New Roman" w:hAnsi="Times New Roman"/>
          <w:color w:val="000000"/>
          <w:sz w:val="20"/>
        </w:rPr>
        <w:t>”</w:t>
      </w:r>
      <w:r>
        <w:rPr>
          <w:rFonts w:ascii="Times New Roman" w:hAnsi="Times New Roman"/>
          <w:color w:val="000000"/>
          <w:sz w:val="21"/>
        </w:rPr>
        <w:t>) dated August 6, 2026 from Canada Pension Plan Investment Board (“</w:t>
      </w:r>
      <w:r>
        <w:rPr>
          <w:rFonts w:ascii="Times New Roman" w:hAnsi="Times New Roman"/>
          <w:b/>
          <w:color w:val="000000"/>
          <w:sz w:val="21"/>
        </w:rPr>
        <w:t>CPP Investments</w:t>
      </w:r>
      <w:r>
        <w:rPr>
          <w:rFonts w:ascii="Times New Roman" w:hAnsi="Times New Roman"/>
          <w:color w:val="000000"/>
          <w:sz w:val="20"/>
        </w:rPr>
        <w:t>”</w:t>
      </w:r>
      <w:r>
        <w:rPr>
          <w:rFonts w:ascii="Times New Roman" w:hAnsi="Times New Roman"/>
          <w:color w:val="000000"/>
          <w:sz w:val="21"/>
        </w:rPr>
        <w:t>) and Sumant Sinha (the Founder, Chairman and CEO of ReNew) (together with CPP Investments, the “</w:t>
      </w:r>
      <w:r>
        <w:rPr>
          <w:rFonts w:ascii="Times New Roman" w:hAnsi="Times New Roman"/>
          <w:b/>
          <w:color w:val="000000"/>
          <w:sz w:val="21"/>
        </w:rPr>
        <w:t>Consortium</w:t>
      </w:r>
      <w:r>
        <w:rPr>
          <w:rFonts w:ascii="Times New Roman" w:hAnsi="Times New Roman"/>
          <w:color w:val="000000"/>
          <w:sz w:val="20"/>
        </w:rPr>
        <w:t>”</w:t>
      </w:r>
      <w:r>
        <w:rPr>
          <w:rFonts w:ascii="Times New Roman" w:hAnsi="Times New Roman"/>
          <w:color w:val="000000"/>
          <w:sz w:val="21"/>
        </w:rPr>
        <w:t>) which reaffirmed that the terms of the Consortium’s proposal dated July 27, 2026, including the cash consideration of US$7.02, remain unchanged and represent its best and final non-binding proposal (the “</w:t>
      </w:r>
      <w:r>
        <w:rPr>
          <w:rFonts w:ascii="Times New Roman" w:hAnsi="Times New Roman"/>
          <w:b/>
          <w:color w:val="000000"/>
          <w:sz w:val="21"/>
        </w:rPr>
        <w:t>Best and Final Proposal</w:t>
      </w:r>
      <w:r>
        <w:rPr>
          <w:rFonts w:ascii="Times New Roman" w:hAnsi="Times New Roman"/>
          <w:color w:val="000000"/>
          <w:sz w:val="20"/>
        </w:rPr>
        <w:t>”</w:t>
      </w:r>
      <w:r>
        <w:rPr>
          <w:rFonts w:ascii="Times New Roman" w:hAnsi="Times New Roman"/>
          <w:color w:val="000000"/>
          <w:sz w:val="21"/>
        </w:rPr>
        <w:t>) to, subject to a rollover, acquire the entire issued and to be issued share capital of the Company not already owned by members of the Consortium.</w:t>
      </w:r>
      <w:r>
        <w:rPr>
          <w:rFonts w:ascii="Times New Roman" w:hAnsi="Times New Roman"/>
          <w:color w:val="000000"/>
          <w:sz w:val="20"/>
        </w:rPr>
        <w:t xml:space="preserve"> </w:t>
      </w:r>
    </w:p>
    <w:p>
      <w:pPr>
        <w:pStyle w:val="TextBody"/>
        <w:bidi w:val="0"/>
        <w:spacing w:before="0" w:after="120"/>
        <w:jc w:val="both"/>
        <w:rPr/>
      </w:pPr>
      <w:r>
        <w:rPr/>
        <w:t> </w:t>
      </w:r>
    </w:p>
    <w:p>
      <w:pPr>
        <w:pStyle w:val="TextBody"/>
        <w:bidi w:val="0"/>
        <w:spacing w:before="0" w:after="120"/>
        <w:jc w:val="both"/>
        <w:rPr>
          <w:rFonts w:ascii="Times New Roman" w:hAnsi="Times New Roman"/>
          <w:sz w:val="20"/>
        </w:rPr>
      </w:pPr>
      <w:r>
        <w:rPr>
          <w:rFonts w:ascii="Times New Roman" w:hAnsi="Times New Roman"/>
          <w:color w:val="000000"/>
          <w:sz w:val="21"/>
        </w:rPr>
        <w:t>The Special Committee (“</w:t>
      </w:r>
      <w:r>
        <w:rPr>
          <w:rFonts w:ascii="Times New Roman" w:hAnsi="Times New Roman"/>
          <w:b/>
          <w:color w:val="000000"/>
          <w:sz w:val="21"/>
        </w:rPr>
        <w:t>Special Committee</w:t>
      </w:r>
      <w:r>
        <w:rPr>
          <w:rFonts w:ascii="Times New Roman" w:hAnsi="Times New Roman"/>
          <w:color w:val="000000"/>
          <w:sz w:val="20"/>
        </w:rPr>
        <w:t>”</w:t>
      </w:r>
      <w:r>
        <w:rPr>
          <w:rFonts w:ascii="Times New Roman" w:hAnsi="Times New Roman"/>
          <w:color w:val="000000"/>
          <w:sz w:val="21"/>
        </w:rPr>
        <w:t>) of the Board of Directors of ReNew, led by Manoj Singh, and advised by Rothschild &amp; Co and Linklaters, is continuing to evaluate the Best and Final Proposal. Active discussions with the Consortium remain ongoing, and the Special Committee will provide a conclusive update as soon as reasonably practicable.</w:t>
      </w:r>
    </w:p>
    <w:p>
      <w:pPr>
        <w:pStyle w:val="TextBody"/>
        <w:bidi w:val="0"/>
        <w:spacing w:before="0" w:after="180"/>
        <w:jc w:val="both"/>
        <w:rPr/>
      </w:pPr>
      <w:r>
        <w:rPr/>
        <w:t> </w:t>
      </w:r>
    </w:p>
    <w:p>
      <w:pPr>
        <w:pStyle w:val="TextBody"/>
        <w:bidi w:val="0"/>
        <w:spacing w:before="0" w:after="180"/>
        <w:jc w:val="both"/>
        <w:rPr>
          <w:rFonts w:ascii="Times New Roman" w:hAnsi="Times New Roman"/>
          <w:color w:val="000000"/>
          <w:sz w:val="21"/>
        </w:rPr>
      </w:pPr>
      <w:r>
        <w:rPr>
          <w:rFonts w:ascii="Times New Roman" w:hAnsi="Times New Roman"/>
          <w:color w:val="000000"/>
          <w:sz w:val="21"/>
        </w:rPr>
        <w:t>No assurance can be given regarding the likelihood, terms or details of a potential transaction resulting from the Best and Final Proposal received from the Consortium or any other potential transaction. Further decisions or disclosures by the Special Committee will be made as appropriate or required.</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160"/>
        <w:jc w:val="both"/>
        <w:rPr>
          <w:rFonts w:ascii="Times New Roman" w:hAnsi="Times New Roman"/>
          <w:b/>
          <w:color w:val="000000"/>
          <w:sz w:val="21"/>
        </w:rPr>
      </w:pPr>
      <w:r>
        <w:rPr>
          <w:rFonts w:ascii="Times New Roman" w:hAnsi="Times New Roman"/>
          <w:b/>
          <w:color w:val="000000"/>
          <w:sz w:val="21"/>
        </w:rPr>
        <w:t>Forward-Looking Statements</w:t>
      </w:r>
    </w:p>
    <w:p>
      <w:pPr>
        <w:pStyle w:val="TextBody"/>
        <w:bidi w:val="0"/>
        <w:spacing w:before="0" w:after="120"/>
        <w:jc w:val="both"/>
        <w:rPr>
          <w:rFonts w:ascii="Times New Roman" w:hAnsi="Times New Roman"/>
          <w:color w:val="000000"/>
          <w:sz w:val="21"/>
        </w:rPr>
      </w:pPr>
      <w:r>
        <w:rPr>
          <w:rFonts w:ascii="Times New Roman" w:hAnsi="Times New Roman"/>
          <w:color w:val="000000"/>
          <w:sz w:val="21"/>
        </w:rPr>
        <w:t>This release includes “forward-looking statements” within the meaning of the “safe harbor” provisions of the United States Private Securities Litigation Reform Act of 1995. Forward-looking statements may be identified by the use of words such as “estimate,” “objective,” “plan,” “project,” “forecast,” “intend,” “will,” “expect,” “anticipate,” “believe,” “seek,” “target,” “milestone,” “designed to,” “proposed” or other similar expressions that predict or imply future events, trends, terms and/or conditions or that are not statements of historical matters. Such forward-looking statements are based on current expectations and projections about future events and various assumptions. The Company cautions readers of this release that these forward-looking statements are subject to risks and uncertainties, most of which are difficult to predict and many of which are beyond the Company’s control, that could cause the actual results to differ materially from the expected results.</w:t>
      </w:r>
    </w:p>
    <w:p>
      <w:pPr>
        <w:pStyle w:val="TextBody"/>
        <w:bidi w:val="0"/>
        <w:spacing w:before="0" w:after="180"/>
        <w:jc w:val="both"/>
        <w:rPr>
          <w:rFonts w:ascii="Times New Roman" w:hAnsi="Times New Roman"/>
          <w:sz w:val="20"/>
        </w:rPr>
      </w:pPr>
      <w:r>
        <w:rPr>
          <w:rFonts w:ascii="Times New Roman" w:hAnsi="Times New Roman"/>
          <w:color w:val="000000"/>
          <w:sz w:val="21"/>
        </w:rPr>
        <w:t>The Company’s most recent Annual Report on Form 20-F filed with the United States Securities and Exchange Commission (the “</w:t>
      </w:r>
      <w:r>
        <w:rPr>
          <w:rFonts w:ascii="Times New Roman" w:hAnsi="Times New Roman"/>
          <w:b/>
          <w:color w:val="000000"/>
          <w:sz w:val="21"/>
        </w:rPr>
        <w:t>SEC</w:t>
      </w:r>
      <w:r>
        <w:rPr>
          <w:rFonts w:ascii="Times New Roman" w:hAnsi="Times New Roman"/>
          <w:color w:val="000000"/>
          <w:sz w:val="20"/>
        </w:rPr>
        <w:t>”</w:t>
      </w:r>
      <w:r>
        <w:rPr>
          <w:rFonts w:ascii="Times New Roman" w:hAnsi="Times New Roman"/>
          <w:color w:val="000000"/>
          <w:sz w:val="21"/>
        </w:rPr>
        <w:t>) or Form 6-Ks furnished to the SEC by the Company outline certain of these risks and uncertainties which may cause actual results to differ. Forward-looking statements should be construed in light of such risk factors and undue reliance should not be placed on forward-looking statements. These forward-looking statements speak only as of the date of this release. The Company expressly disclaims any obligation or undertaking (except as required by applicable law) to release publicly any updates or revisions to any forward-looking statement contained herein to reflect any change in the Company’s expectations with regard thereto or any change in events, conditions or circumstances on which any such statement is based.</w:t>
      </w:r>
    </w:p>
    <w:p>
      <w:pPr>
        <w:pStyle w:val="TextBody"/>
        <w:bidi w:val="0"/>
        <w:jc w:val="left"/>
        <w:rPr/>
      </w:pPr>
      <w:r>
        <w:rPr/>
        <w:t> </w:t>
      </w:r>
    </w:p>
    <w:p>
      <w:pPr>
        <w:pStyle w:val="TextBody"/>
        <w:bidi w:val="0"/>
        <w:spacing w:before="0" w:after="160"/>
        <w:jc w:val="both"/>
        <w:rPr>
          <w:rFonts w:ascii="Times New Roman" w:hAnsi="Times New Roman"/>
          <w:b/>
          <w:color w:val="000000"/>
          <w:sz w:val="21"/>
        </w:rPr>
      </w:pPr>
      <w:r>
        <w:rPr>
          <w:rFonts w:ascii="Times New Roman" w:hAnsi="Times New Roman"/>
          <w:b/>
          <w:color w:val="000000"/>
          <w:sz w:val="21"/>
        </w:rPr>
        <w:t>About ReNew</w:t>
      </w:r>
    </w:p>
    <w:p>
      <w:pPr>
        <w:pStyle w:val="TextBody"/>
        <w:bidi w:val="0"/>
        <w:spacing w:before="0" w:after="180"/>
        <w:jc w:val="both"/>
        <w:rPr>
          <w:rFonts w:ascii="Times New Roman" w:hAnsi="Times New Roman"/>
          <w:color w:val="000000"/>
          <w:sz w:val="21"/>
        </w:rPr>
      </w:pPr>
      <w:r>
        <w:rPr>
          <w:rFonts w:ascii="Times New Roman" w:hAnsi="Times New Roman"/>
          <w:color w:val="000000"/>
          <w:sz w:val="21"/>
        </w:rPr>
        <w:t>ReNew is a leading decarbonization solutions company listed on Nasdaq (Nasdaq: RNW, RNWWW). ReNew’s clean energy portfolio of ~20.2 GW (including 1.7 GW/6.2 GWh of BESS) on a gross basis as of May 18, 2026, is one of the largest globally. In addition to being a major independent power producer in India, we provide end-to-end solutions in a just and inclusive manner in the areas of clean energy, value-added energy offerings through digitalization, storage, and carbon markets that are increasingly integral to addressing climate change. In addition, ReNew has 6.4 GW of solar module and 2.5 GW of solar cell manufacturing capacities and is expanding its solar cells manufacturing capacity by another 4 GW, which is expected to be operational by December 2026. For more information, visit www.renew.com and follow us on LinkedIn, Facebook, X and Instagram.</w:t>
      </w:r>
    </w:p>
    <w:p>
      <w:pPr>
        <w:pStyle w:val="TextBody"/>
        <w:bidi w:val="0"/>
        <w:jc w:val="left"/>
        <w:rPr/>
      </w:pPr>
      <w:r>
        <w:rPr/>
        <w:t> </w:t>
      </w:r>
    </w:p>
    <w:p>
      <w:pPr>
        <w:pStyle w:val="TextBody"/>
        <w:bidi w:val="0"/>
        <w:spacing w:before="0" w:after="160"/>
        <w:jc w:val="both"/>
        <w:rPr>
          <w:rFonts w:ascii="Times New Roman" w:hAnsi="Times New Roman"/>
          <w:b/>
          <w:color w:val="000000"/>
          <w:sz w:val="21"/>
        </w:rPr>
      </w:pPr>
      <w:r>
        <w:rPr>
          <w:rFonts w:ascii="Times New Roman" w:hAnsi="Times New Roman"/>
          <w:b/>
          <w:color w:val="000000"/>
          <w:sz w:val="21"/>
        </w:rPr>
        <w:t>Press Enquiries</w:t>
      </w:r>
    </w:p>
    <w:p>
      <w:pPr>
        <w:pStyle w:val="TextBody"/>
        <w:bidi w:val="0"/>
        <w:spacing w:before="0" w:after="180"/>
        <w:jc w:val="both"/>
        <w:rPr>
          <w:rFonts w:ascii="Times New Roman" w:hAnsi="Times New Roman"/>
          <w:color w:val="000000"/>
          <w:sz w:val="21"/>
        </w:rPr>
      </w:pPr>
      <w:r>
        <w:rPr>
          <w:rFonts w:ascii="Times New Roman" w:hAnsi="Times New Roman"/>
          <w:color w:val="000000"/>
          <w:sz w:val="21"/>
        </w:rPr>
        <w:t>pr@renew.com</w:t>
      </w:r>
    </w:p>
    <w:p>
      <w:pPr>
        <w:pStyle w:val="TextBody"/>
        <w:bidi w:val="0"/>
        <w:spacing w:before="0" w:after="160"/>
        <w:jc w:val="both"/>
        <w:rPr>
          <w:rFonts w:ascii="Times New Roman" w:hAnsi="Times New Roman"/>
          <w:b/>
          <w:color w:val="000000"/>
          <w:sz w:val="21"/>
        </w:rPr>
      </w:pPr>
      <w:r>
        <w:rPr>
          <w:rFonts w:ascii="Times New Roman" w:hAnsi="Times New Roman"/>
          <w:b/>
          <w:color w:val="000000"/>
          <w:sz w:val="21"/>
        </w:rPr>
        <w:t>Investor Enquiries</w:t>
      </w:r>
    </w:p>
    <w:p>
      <w:pPr>
        <w:pStyle w:val="TextBody"/>
        <w:bidi w:val="0"/>
        <w:jc w:val="both"/>
        <w:rPr>
          <w:rFonts w:ascii="Times New Roman" w:hAnsi="Times New Roman"/>
          <w:color w:val="000000"/>
          <w:sz w:val="21"/>
        </w:rPr>
      </w:pPr>
      <w:r>
        <w:rPr>
          <w:rFonts w:ascii="Times New Roman" w:hAnsi="Times New Roman"/>
          <w:color w:val="000000"/>
          <w:sz w:val="21"/>
        </w:rPr>
        <w:t>Anunay Shahi</w:t>
      </w:r>
    </w:p>
    <w:p>
      <w:pPr>
        <w:pStyle w:val="TextBody"/>
        <w:bidi w:val="0"/>
        <w:jc w:val="both"/>
        <w:rPr>
          <w:rFonts w:ascii="Times New Roman" w:hAnsi="Times New Roman"/>
          <w:color w:val="000000"/>
          <w:sz w:val="21"/>
        </w:rPr>
      </w:pPr>
      <w:r>
        <w:rPr>
          <w:rFonts w:ascii="Times New Roman" w:hAnsi="Times New Roman"/>
          <w:color w:val="000000"/>
          <w:sz w:val="21"/>
        </w:rPr>
        <w:t>Nitin Vaid</w:t>
      </w:r>
    </w:p>
    <w:p>
      <w:pPr>
        <w:pStyle w:val="TextBody"/>
        <w:bidi w:val="0"/>
        <w:jc w:val="both"/>
        <w:rPr>
          <w:rFonts w:ascii="Times New Roman" w:hAnsi="Times New Roman"/>
          <w:color w:val="000000"/>
          <w:sz w:val="21"/>
        </w:rPr>
      </w:pPr>
      <w:r>
        <w:rPr>
          <w:rFonts w:ascii="Times New Roman" w:hAnsi="Times New Roman"/>
          <w:color w:val="000000"/>
          <w:sz w:val="21"/>
        </w:rPr>
        <w:t>ir@renew.com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SIGNATURES</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p>
      <w:pPr>
        <w:pStyle w:val="TextBody"/>
        <w:bidi w:val="0"/>
        <w:jc w:val="left"/>
        <w:rPr/>
      </w:pPr>
      <w:r>
        <w:rPr/>
        <w:t> </w:t>
      </w:r>
    </w:p>
    <w:tbl>
      <w:tblPr>
        <w:tblW w:w="5671" w:type="dxa"/>
        <w:jc w:val="left"/>
        <w:tblInd w:w="0" w:type="dxa"/>
        <w:tblLayout w:type="fixed"/>
        <w:tblCellMar>
          <w:top w:w="28" w:type="dxa"/>
          <w:left w:w="28" w:type="dxa"/>
          <w:bottom w:w="28" w:type="dxa"/>
          <w:right w:w="28" w:type="dxa"/>
        </w:tblCellMar>
      </w:tblPr>
      <w:tblGrid>
        <w:gridCol w:w="2311"/>
        <w:gridCol w:w="803"/>
        <w:gridCol w:w="2557"/>
      </w:tblGrid>
      <w:tr>
        <w:trPr/>
        <w:tc>
          <w:tcPr>
            <w:tcW w:w="23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557" w:type="dxa"/>
            <w:tcBorders/>
            <w:vAlign w:val="center"/>
          </w:tcPr>
          <w:p>
            <w:pPr>
              <w:pStyle w:val="TableContents"/>
              <w:bidi w:val="0"/>
              <w:spacing w:before="0" w:after="283"/>
              <w:jc w:val="left"/>
              <w:rPr>
                <w:sz w:val="4"/>
                <w:szCs w:val="4"/>
              </w:rPr>
            </w:pPr>
            <w:r>
              <w:rPr>
                <w:sz w:val="4"/>
                <w:szCs w:val="4"/>
              </w:rPr>
            </w:r>
          </w:p>
        </w:tc>
      </w:tr>
      <w:tr>
        <w:trPr/>
        <w:tc>
          <w:tcPr>
            <w:tcW w:w="231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 </w:t>
            </w:r>
            <w:r>
              <w:rPr>
                <w:rFonts w:ascii="Times New Roman" w:hAnsi="Times New Roman"/>
                <w:color w:val="000000"/>
                <w:sz w:val="22"/>
              </w:rPr>
              <w:t>Dated: August 7, 2026</w:t>
            </w:r>
          </w:p>
        </w:tc>
        <w:tc>
          <w:tcPr>
            <w:tcW w:w="3360"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RENEW ENERGY GLOBAL PLC</w:t>
            </w:r>
          </w:p>
        </w:tc>
      </w:tr>
      <w:tr>
        <w:trPr/>
        <w:tc>
          <w:tcPr>
            <w:tcW w:w="2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tcBorders/>
            <w:tcMar>
              <w:top w:w="0" w:type="dxa"/>
              <w:left w:w="0" w:type="dxa"/>
              <w:bottom w:w="0" w:type="dxa"/>
              <w:right w:w="0" w:type="dxa"/>
            </w:tcMar>
            <w:vAlign w:val="center"/>
          </w:tcPr>
          <w:p>
            <w:pPr>
              <w:pStyle w:val="TableContents"/>
              <w:bidi w:val="0"/>
              <w:spacing w:before="0" w:after="283"/>
              <w:jc w:val="both"/>
              <w:rPr/>
            </w:pPr>
            <w:r>
              <w:rPr/>
              <w:t> </w:t>
            </w:r>
          </w:p>
        </w:tc>
        <w:tc>
          <w:tcPr>
            <w:tcW w:w="8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2557"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/s/ Kailash Vaswani</w:t>
            </w:r>
          </w:p>
        </w:tc>
      </w:tr>
      <w:tr>
        <w:trPr/>
        <w:tc>
          <w:tcPr>
            <w:tcW w:w="2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25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Kailash Vaswani</w:t>
            </w:r>
          </w:p>
        </w:tc>
      </w:tr>
      <w:tr>
        <w:trPr/>
        <w:tc>
          <w:tcPr>
            <w:tcW w:w="2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25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Chief Financial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774</Words>
  <Characters>4350</Characters>
  <CharactersWithSpaces>5131</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